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014"/>
      </w:tblGrid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EF007E" w:rsidRPr="00D3135F" w:rsidRDefault="00EF007E" w:rsidP="00D3135F">
            <w:pPr>
              <w:rPr>
                <w:b/>
                <w:i/>
                <w:color w:val="06508C"/>
              </w:rPr>
            </w:pPr>
            <w:r w:rsidRPr="00D3135F">
              <w:rPr>
                <w:b/>
                <w:i/>
                <w:color w:val="06508C"/>
              </w:rPr>
              <w:t>Lernziele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EF007E" w:rsidRPr="00D3135F" w:rsidRDefault="00EF007E" w:rsidP="00A06922">
            <w:pPr>
              <w:pStyle w:val="Textkrper3"/>
              <w:spacing w:line="276" w:lineRule="auto"/>
              <w:rPr>
                <w:rFonts w:cs="Arial"/>
                <w:sz w:val="20"/>
              </w:rPr>
            </w:pPr>
            <w:r w:rsidRPr="00D3135F">
              <w:rPr>
                <w:rFonts w:cs="Arial"/>
                <w:sz w:val="20"/>
              </w:rPr>
              <w:t xml:space="preserve">Ein </w:t>
            </w:r>
            <w:r w:rsidR="009730BC">
              <w:rPr>
                <w:rFonts w:cs="Arial"/>
                <w:sz w:val="20"/>
              </w:rPr>
              <w:t>Patient,</w:t>
            </w:r>
            <w:r w:rsidR="005921FA">
              <w:rPr>
                <w:rFonts w:cs="Arial"/>
                <w:sz w:val="20"/>
              </w:rPr>
              <w:t xml:space="preserve"> der eine Anästhesie für einen großen Baucheingriff </w:t>
            </w:r>
            <w:r w:rsidR="009730BC">
              <w:rPr>
                <w:rFonts w:cs="Arial"/>
                <w:sz w:val="20"/>
              </w:rPr>
              <w:t>erhält,</w:t>
            </w:r>
            <w:r w:rsidR="005921FA">
              <w:rPr>
                <w:rFonts w:cs="Arial"/>
                <w:sz w:val="20"/>
              </w:rPr>
              <w:t xml:space="preserve"> bekommt nach Einleitung der Narkose eine Lungenarterienembolie. Die Teilnehmer sollen:</w:t>
            </w:r>
          </w:p>
          <w:p w:rsidR="00EF007E" w:rsidRPr="00D3135F" w:rsidRDefault="00EF007E" w:rsidP="00A06922">
            <w:pPr>
              <w:pStyle w:val="Textkrper3"/>
              <w:numPr>
                <w:ilvl w:val="0"/>
                <w:numId w:val="14"/>
              </w:numPr>
              <w:spacing w:line="276" w:lineRule="auto"/>
              <w:rPr>
                <w:rFonts w:cs="Arial"/>
                <w:sz w:val="20"/>
              </w:rPr>
            </w:pPr>
            <w:r w:rsidRPr="00D3135F">
              <w:rPr>
                <w:rFonts w:cs="Arial"/>
                <w:sz w:val="20"/>
              </w:rPr>
              <w:t>die vitale Bedrohlichkeit der Situation erfassen</w:t>
            </w:r>
          </w:p>
          <w:p w:rsidR="00EF007E" w:rsidRPr="00D3135F" w:rsidRDefault="00EF007E" w:rsidP="00A06922">
            <w:pPr>
              <w:pStyle w:val="Textkrper3"/>
              <w:numPr>
                <w:ilvl w:val="0"/>
                <w:numId w:val="14"/>
              </w:numPr>
              <w:spacing w:line="276" w:lineRule="auto"/>
              <w:rPr>
                <w:rFonts w:cs="Arial"/>
                <w:sz w:val="20"/>
              </w:rPr>
            </w:pPr>
            <w:r w:rsidRPr="00D3135F">
              <w:rPr>
                <w:rFonts w:cs="Arial"/>
                <w:sz w:val="20"/>
              </w:rPr>
              <w:t>mit geringen Personalressourcen arbeiten (</w:t>
            </w:r>
            <w:r w:rsidR="005921FA">
              <w:rPr>
                <w:rFonts w:cs="Arial"/>
                <w:sz w:val="20"/>
              </w:rPr>
              <w:t>kein OP-Team verfügbar</w:t>
            </w:r>
            <w:r w:rsidRPr="00D3135F">
              <w:rPr>
                <w:rFonts w:cs="Arial"/>
                <w:sz w:val="20"/>
              </w:rPr>
              <w:t>)</w:t>
            </w:r>
          </w:p>
          <w:p w:rsidR="00EF007E" w:rsidRPr="00D3135F" w:rsidRDefault="00EF007E" w:rsidP="00A06922">
            <w:pPr>
              <w:pStyle w:val="Textkrper3"/>
              <w:numPr>
                <w:ilvl w:val="0"/>
                <w:numId w:val="14"/>
              </w:numPr>
              <w:spacing w:line="276" w:lineRule="auto"/>
              <w:rPr>
                <w:rFonts w:cs="Arial"/>
                <w:sz w:val="20"/>
              </w:rPr>
            </w:pPr>
            <w:r w:rsidRPr="00D3135F">
              <w:rPr>
                <w:rFonts w:cs="Arial"/>
                <w:sz w:val="20"/>
              </w:rPr>
              <w:t xml:space="preserve">die Differentialdiagnose und Therapie mit Hilfe von </w:t>
            </w:r>
            <w:proofErr w:type="spellStart"/>
            <w:r w:rsidRPr="00D3135F">
              <w:rPr>
                <w:rFonts w:cs="Arial"/>
                <w:sz w:val="20"/>
              </w:rPr>
              <w:t>eGENA</w:t>
            </w:r>
            <w:proofErr w:type="spellEnd"/>
            <w:r w:rsidRPr="00D3135F">
              <w:rPr>
                <w:rFonts w:cs="Arial"/>
                <w:sz w:val="20"/>
              </w:rPr>
              <w:t xml:space="preserve"> bewältigen</w:t>
            </w:r>
          </w:p>
        </w:tc>
      </w:tr>
      <w:tr w:rsidR="00A06922" w:rsidTr="002D7A29">
        <w:tc>
          <w:tcPr>
            <w:tcW w:w="1668" w:type="dxa"/>
            <w:tcBorders>
              <w:right w:val="single" w:sz="4" w:space="0" w:color="auto"/>
            </w:tcBorders>
          </w:tcPr>
          <w:p w:rsidR="00A06922" w:rsidRPr="00D3135F" w:rsidRDefault="00A06922" w:rsidP="00D3135F">
            <w:pPr>
              <w:spacing w:line="276" w:lineRule="auto"/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06922" w:rsidRPr="00A06922" w:rsidRDefault="00A06922" w:rsidP="00A0692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EF007E" w:rsidRPr="00D3135F" w:rsidRDefault="00EF007E" w:rsidP="00D3135F">
            <w:pPr>
              <w:spacing w:line="276" w:lineRule="auto"/>
              <w:rPr>
                <w:b/>
                <w:i/>
                <w:color w:val="06508C"/>
              </w:rPr>
            </w:pPr>
            <w:r w:rsidRPr="00D3135F">
              <w:rPr>
                <w:b/>
                <w:i/>
                <w:color w:val="06508C"/>
              </w:rPr>
              <w:t>Briefing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E735F" w:rsidRPr="00AE735F" w:rsidRDefault="00AE735F" w:rsidP="00AE735F">
            <w:pPr>
              <w:spacing w:line="276" w:lineRule="auto"/>
              <w:jc w:val="both"/>
              <w:rPr>
                <w:rFonts w:cs="Arial"/>
              </w:rPr>
            </w:pPr>
            <w:r w:rsidRPr="00AE735F">
              <w:rPr>
                <w:rFonts w:cs="Arial"/>
              </w:rPr>
              <w:t>Sie übernehmen die Narkose im Operationssaal um 17 Uhr im Spätdienst von einem Kollegen im ersten Berufsjahr:</w:t>
            </w:r>
          </w:p>
          <w:p w:rsidR="009730BC" w:rsidRDefault="00AE735F" w:rsidP="00AE735F">
            <w:pPr>
              <w:spacing w:line="276" w:lineRule="auto"/>
              <w:jc w:val="both"/>
              <w:rPr>
                <w:rFonts w:cs="Arial"/>
              </w:rPr>
            </w:pPr>
            <w:r w:rsidRPr="00AE735F">
              <w:rPr>
                <w:rFonts w:cs="Arial"/>
              </w:rPr>
              <w:t xml:space="preserve">Herr Kühn, 66 Jahre alt und 115kg schwer. Die Bauchchirurgen wollen eine </w:t>
            </w:r>
            <w:proofErr w:type="spellStart"/>
            <w:r w:rsidRPr="00AE735F">
              <w:rPr>
                <w:rFonts w:cs="Arial"/>
              </w:rPr>
              <w:t>laparoskopische</w:t>
            </w:r>
            <w:proofErr w:type="spellEnd"/>
            <w:r w:rsidRPr="00AE735F">
              <w:rPr>
                <w:rFonts w:cs="Arial"/>
              </w:rPr>
              <w:t xml:space="preserve"> Sigma-Resektion durchführen. Die Einleitung war problemlos. Nach 40 µg </w:t>
            </w:r>
            <w:proofErr w:type="spellStart"/>
            <w:r w:rsidRPr="00AE735F">
              <w:rPr>
                <w:rFonts w:cs="Arial"/>
              </w:rPr>
              <w:t>Sufentanil</w:t>
            </w:r>
            <w:proofErr w:type="spellEnd"/>
            <w:r w:rsidRPr="00AE735F">
              <w:rPr>
                <w:rFonts w:cs="Arial"/>
              </w:rPr>
              <w:t xml:space="preserve">, 500mg </w:t>
            </w:r>
            <w:proofErr w:type="spellStart"/>
            <w:r w:rsidRPr="00AE735F">
              <w:rPr>
                <w:rFonts w:cs="Arial"/>
              </w:rPr>
              <w:t>Propofol</w:t>
            </w:r>
            <w:proofErr w:type="spellEnd"/>
            <w:r w:rsidRPr="00AE735F">
              <w:rPr>
                <w:rFonts w:cs="Arial"/>
              </w:rPr>
              <w:t xml:space="preserve"> und 100mg </w:t>
            </w:r>
            <w:proofErr w:type="spellStart"/>
            <w:r w:rsidRPr="00AE735F">
              <w:rPr>
                <w:rFonts w:cs="Arial"/>
              </w:rPr>
              <w:t>Rocuronium</w:t>
            </w:r>
            <w:proofErr w:type="spellEnd"/>
            <w:r w:rsidRPr="00AE735F">
              <w:rPr>
                <w:rFonts w:cs="Arial"/>
              </w:rPr>
              <w:t xml:space="preserve"> war die Intubation konventionell gut möglich. Die Sicht war Cormack-</w:t>
            </w:r>
            <w:proofErr w:type="spellStart"/>
            <w:r w:rsidRPr="00AE735F">
              <w:rPr>
                <w:rFonts w:cs="Arial"/>
              </w:rPr>
              <w:t>Lehane</w:t>
            </w:r>
            <w:proofErr w:type="spellEnd"/>
            <w:r w:rsidRPr="00AE735F">
              <w:rPr>
                <w:rFonts w:cs="Arial"/>
              </w:rPr>
              <w:t xml:space="preserve"> Grad II. Wir haben noch einen zweiten Zugang und eine Arterie gelegt. Die Narkose wird mit </w:t>
            </w:r>
            <w:proofErr w:type="spellStart"/>
            <w:r w:rsidRPr="00AE735F">
              <w:rPr>
                <w:rFonts w:cs="Arial"/>
              </w:rPr>
              <w:t>Sevofluran</w:t>
            </w:r>
            <w:proofErr w:type="spellEnd"/>
            <w:r w:rsidRPr="00AE735F">
              <w:rPr>
                <w:rFonts w:cs="Arial"/>
              </w:rPr>
              <w:t xml:space="preserve"> aufrechterhalten. Herr Kühn war früher Polizist, hat ein Sigma-Karzinom eine arterielle Hypertonie und einen Diabetes mellitus Typ II. Vor 2 Jahren hatte Herr Kühn einen Schlaganfall bei </w:t>
            </w:r>
            <w:proofErr w:type="spellStart"/>
            <w:r w:rsidRPr="00AE735F">
              <w:rPr>
                <w:rFonts w:cs="Arial"/>
              </w:rPr>
              <w:t>normofrequentem</w:t>
            </w:r>
            <w:proofErr w:type="spellEnd"/>
            <w:r w:rsidRPr="00AE735F">
              <w:rPr>
                <w:rFonts w:cs="Arial"/>
              </w:rPr>
              <w:t xml:space="preserve"> </w:t>
            </w:r>
            <w:proofErr w:type="spellStart"/>
            <w:r w:rsidRPr="00AE735F">
              <w:rPr>
                <w:rFonts w:cs="Arial"/>
              </w:rPr>
              <w:t>Vofhofflimmern</w:t>
            </w:r>
            <w:proofErr w:type="spellEnd"/>
            <w:r w:rsidRPr="00AE735F">
              <w:rPr>
                <w:rFonts w:cs="Arial"/>
              </w:rPr>
              <w:t xml:space="preserve">, nach Reha hat er aber keine Residuen. An Medikamenten nimmt er ASS 100, </w:t>
            </w:r>
            <w:proofErr w:type="spellStart"/>
            <w:r w:rsidRPr="00AE735F">
              <w:rPr>
                <w:rFonts w:cs="Arial"/>
              </w:rPr>
              <w:t>Ramipril</w:t>
            </w:r>
            <w:proofErr w:type="spellEnd"/>
            <w:r w:rsidRPr="00AE735F">
              <w:rPr>
                <w:rFonts w:cs="Arial"/>
              </w:rPr>
              <w:t xml:space="preserve"> und </w:t>
            </w:r>
            <w:proofErr w:type="spellStart"/>
            <w:r w:rsidRPr="00AE735F">
              <w:rPr>
                <w:rFonts w:cs="Arial"/>
              </w:rPr>
              <w:t>Metformin</w:t>
            </w:r>
            <w:proofErr w:type="spellEnd"/>
            <w:r w:rsidRPr="00AE735F">
              <w:rPr>
                <w:rFonts w:cs="Arial"/>
              </w:rPr>
              <w:t xml:space="preserve">. Das </w:t>
            </w:r>
            <w:proofErr w:type="spellStart"/>
            <w:r w:rsidRPr="00AE735F">
              <w:rPr>
                <w:rFonts w:cs="Arial"/>
              </w:rPr>
              <w:t>Metformin</w:t>
            </w:r>
            <w:proofErr w:type="spellEnd"/>
            <w:r w:rsidRPr="00AE735F">
              <w:rPr>
                <w:rFonts w:cs="Arial"/>
              </w:rPr>
              <w:t xml:space="preserve"> ist seit 48 Stunden pausiert.</w:t>
            </w:r>
          </w:p>
          <w:p w:rsidR="00EF007E" w:rsidRPr="00D3135F" w:rsidRDefault="00AE735F" w:rsidP="00AE735F">
            <w:p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AE735F">
              <w:rPr>
                <w:rFonts w:cs="Arial"/>
              </w:rPr>
              <w:t>Gibts</w:t>
            </w:r>
            <w:proofErr w:type="spellEnd"/>
            <w:r w:rsidRPr="00AE735F">
              <w:rPr>
                <w:rFonts w:cs="Arial"/>
              </w:rPr>
              <w:t xml:space="preserve"> noch offene Fragen?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7E0493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1751D1" w:rsidRPr="007E0493" w:rsidRDefault="001751D1" w:rsidP="00A06922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EF007E" w:rsidTr="001751D1">
        <w:tc>
          <w:tcPr>
            <w:tcW w:w="1668" w:type="dxa"/>
            <w:tcBorders>
              <w:right w:val="single" w:sz="4" w:space="0" w:color="auto"/>
            </w:tcBorders>
          </w:tcPr>
          <w:p w:rsidR="00EF007E" w:rsidRPr="00D3135F" w:rsidRDefault="00EF007E" w:rsidP="00D3135F">
            <w:pPr>
              <w:rPr>
                <w:b/>
                <w:i/>
                <w:color w:val="06508C"/>
              </w:rPr>
            </w:pPr>
            <w:r w:rsidRPr="00D3135F">
              <w:rPr>
                <w:b/>
                <w:i/>
                <w:color w:val="06508C"/>
              </w:rPr>
              <w:t>Handlung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auto"/>
          </w:tcPr>
          <w:p w:rsidR="001751D1" w:rsidRDefault="001751D1" w:rsidP="001751D1">
            <w:pPr>
              <w:spacing w:line="276" w:lineRule="auto"/>
              <w:jc w:val="both"/>
              <w:rPr>
                <w:rFonts w:cs="Arial"/>
                <w:iCs/>
              </w:rPr>
            </w:pPr>
            <w:r w:rsidRPr="001751D1">
              <w:rPr>
                <w:rFonts w:cs="Arial"/>
                <w:iCs/>
              </w:rPr>
              <w:t>Das Team betritt den OP-Saal und bekommt eine kurze und knappe Übergabe.</w:t>
            </w:r>
            <w:r w:rsidR="0060712E">
              <w:rPr>
                <w:rFonts w:cs="Arial"/>
                <w:iCs/>
              </w:rPr>
              <w:t xml:space="preserve"> Der Narkoseführende Anästhesist verlässt nach der Übergabe unmittelbar den OP.</w:t>
            </w:r>
          </w:p>
          <w:p w:rsidR="001751D1" w:rsidRDefault="001751D1" w:rsidP="001751D1">
            <w:pPr>
              <w:spacing w:line="276" w:lineRule="auto"/>
              <w:jc w:val="both"/>
              <w:rPr>
                <w:rFonts w:cs="Arial"/>
                <w:iCs/>
              </w:rPr>
            </w:pPr>
          </w:p>
          <w:p w:rsidR="001751D1" w:rsidRDefault="001751D1" w:rsidP="001751D1">
            <w:pPr>
              <w:spacing w:line="276" w:lineRule="auto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Der Patient ist mit einem ETT intubiert (ID 8,0), </w:t>
            </w:r>
            <w:proofErr w:type="spellStart"/>
            <w:r>
              <w:rPr>
                <w:rFonts w:cs="Arial"/>
                <w:iCs/>
              </w:rPr>
              <w:t>Tubustiefe</w:t>
            </w:r>
            <w:proofErr w:type="spellEnd"/>
            <w:r>
              <w:rPr>
                <w:rFonts w:cs="Arial"/>
                <w:iCs/>
              </w:rPr>
              <w:t xml:space="preserve"> 21cm (Mundwinkel). Beatmung über Narkosegerät (Vol. Modul; AF 16/min; VT 550ml; PEEP 8mbar, FiO2 0,4).</w:t>
            </w:r>
          </w:p>
          <w:p w:rsidR="001751D1" w:rsidRPr="001751D1" w:rsidRDefault="001751D1" w:rsidP="001751D1">
            <w:pPr>
              <w:spacing w:line="276" w:lineRule="auto"/>
              <w:jc w:val="both"/>
              <w:rPr>
                <w:rFonts w:cs="Arial"/>
                <w:iCs/>
              </w:rPr>
            </w:pPr>
          </w:p>
          <w:p w:rsidR="00EF007E" w:rsidRPr="00D3135F" w:rsidRDefault="00EF007E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  <w:i/>
              </w:rPr>
            </w:pPr>
            <w:r w:rsidRPr="00D3135F">
              <w:rPr>
                <w:rFonts w:cs="Arial"/>
                <w:i/>
              </w:rPr>
              <w:t>Vitalparameter zu Beginn:</w:t>
            </w:r>
          </w:p>
          <w:p w:rsidR="00EF007E" w:rsidRDefault="00AE735F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Pupillen seitengleich, eng</w:t>
            </w:r>
          </w:p>
          <w:p w:rsidR="00AE735F" w:rsidRDefault="00AE735F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Augen geschlossen</w:t>
            </w:r>
          </w:p>
          <w:p w:rsidR="001751D1" w:rsidRDefault="001751D1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Unauffälliges, vesikuläres Atemgeräusch beidseits.</w:t>
            </w:r>
          </w:p>
          <w:p w:rsidR="00AE735F" w:rsidRPr="00D3135F" w:rsidRDefault="00AE735F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VHF, HF 143/min RR 100/60 </w:t>
            </w:r>
            <w:proofErr w:type="spellStart"/>
            <w:r>
              <w:rPr>
                <w:rFonts w:cs="Arial"/>
              </w:rPr>
              <w:t>mmHg</w:t>
            </w:r>
            <w:proofErr w:type="spellEnd"/>
            <w:r>
              <w:rPr>
                <w:rFonts w:cs="Arial"/>
              </w:rPr>
              <w:t xml:space="preserve"> SpO2 94%, etCO2 40mmHg (</w:t>
            </w:r>
            <w:proofErr w:type="spellStart"/>
            <w:r>
              <w:rPr>
                <w:rFonts w:cs="Arial"/>
              </w:rPr>
              <w:t>uauffällige</w:t>
            </w:r>
            <w:proofErr w:type="spellEnd"/>
            <w:r>
              <w:rPr>
                <w:rFonts w:cs="Arial"/>
              </w:rPr>
              <w:t xml:space="preserve"> Konfiguration der Kurve), </w:t>
            </w:r>
            <w:proofErr w:type="spellStart"/>
            <w:r>
              <w:rPr>
                <w:rFonts w:cs="Arial"/>
              </w:rPr>
              <w:t>etSevo</w:t>
            </w:r>
            <w:proofErr w:type="spellEnd"/>
            <w:r>
              <w:rPr>
                <w:rFonts w:cs="Arial"/>
              </w:rPr>
              <w:t xml:space="preserve"> 1,3</w:t>
            </w:r>
          </w:p>
          <w:p w:rsidR="00EF007E" w:rsidRDefault="00EF007E" w:rsidP="00A06922">
            <w:pPr>
              <w:spacing w:line="276" w:lineRule="auto"/>
              <w:jc w:val="both"/>
              <w:rPr>
                <w:rFonts w:cs="Arial"/>
              </w:rPr>
            </w:pPr>
          </w:p>
          <w:p w:rsidR="00EF007E" w:rsidRPr="00D3135F" w:rsidRDefault="001751D1" w:rsidP="00A0692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Verlauf nach Übergabe (Verlauf über 2 Minuten)</w:t>
            </w:r>
          </w:p>
          <w:p w:rsidR="00EF007E" w:rsidRPr="00D3135F" w:rsidRDefault="00EF007E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  <w:i/>
              </w:rPr>
            </w:pPr>
            <w:r w:rsidRPr="00D3135F">
              <w:rPr>
                <w:rFonts w:cs="Arial"/>
                <w:i/>
              </w:rPr>
              <w:t xml:space="preserve">Vitalparameter nach Verschlechterung: </w:t>
            </w:r>
          </w:p>
          <w:p w:rsidR="00B959BD" w:rsidRDefault="00B959BD" w:rsidP="00B959B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Pupillen seitengleich, eng</w:t>
            </w:r>
          </w:p>
          <w:p w:rsidR="00B959BD" w:rsidRDefault="00B959BD" w:rsidP="00B959B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Augen geschlossen</w:t>
            </w:r>
          </w:p>
          <w:p w:rsidR="00B959BD" w:rsidRDefault="00B959BD" w:rsidP="00B959B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Unauffälliges, vesikuläres Atemgeräusch beidseits.</w:t>
            </w:r>
          </w:p>
          <w:p w:rsidR="00B959BD" w:rsidRDefault="00B959BD" w:rsidP="00B959B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Briete Kammerkomplexe, HF 43/min, RR 80/40 </w:t>
            </w:r>
            <w:proofErr w:type="spellStart"/>
            <w:r>
              <w:rPr>
                <w:rFonts w:cs="Arial"/>
              </w:rPr>
              <w:t>mmHg</w:t>
            </w:r>
            <w:proofErr w:type="spellEnd"/>
            <w:r>
              <w:rPr>
                <w:rFonts w:cs="Arial"/>
              </w:rPr>
              <w:t xml:space="preserve">, SpO2 72%, etCO2 25mmHb (unauffällige Konfiguration der Kurve), </w:t>
            </w:r>
            <w:proofErr w:type="spellStart"/>
            <w:r>
              <w:rPr>
                <w:rFonts w:cs="Arial"/>
              </w:rPr>
              <w:t>etSEVO</w:t>
            </w:r>
            <w:proofErr w:type="spellEnd"/>
            <w:r>
              <w:rPr>
                <w:rFonts w:cs="Arial"/>
              </w:rPr>
              <w:t xml:space="preserve"> 1,3 (Verlauf dynamisch nach Maßgabe der Teilnehmer steuern.)</w:t>
            </w:r>
          </w:p>
          <w:p w:rsidR="00EF007E" w:rsidRDefault="00EF007E" w:rsidP="00A06922">
            <w:pPr>
              <w:spacing w:line="276" w:lineRule="auto"/>
              <w:jc w:val="both"/>
              <w:rPr>
                <w:rFonts w:cs="Arial"/>
              </w:rPr>
            </w:pPr>
          </w:p>
          <w:p w:rsidR="00EF007E" w:rsidRPr="00D3135F" w:rsidRDefault="0004300D" w:rsidP="00A0692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Verlauf über 3 Minuten</w:t>
            </w:r>
          </w:p>
          <w:p w:rsidR="00EF007E" w:rsidRPr="00D3135F" w:rsidRDefault="00EF007E" w:rsidP="00A06922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  <w:i/>
              </w:rPr>
            </w:pPr>
            <w:r w:rsidRPr="00D3135F">
              <w:rPr>
                <w:rFonts w:cs="Arial"/>
                <w:i/>
              </w:rPr>
              <w:t xml:space="preserve">Vitalparameter nach weiterer Verschlechterung: 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Pupillen seitengleich, mittelweit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Augen geschlossen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Unauffälliges, vesikuläres Atemgeräusch beidseits.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Breite Kammerkomplexe, HF 43/min; RR 70/30mmHg; SpO2 nicht messbar, etCO2 8mmHg ODER etCO2 unter CPR 20mmHg (unauffällige Konfiguration der Kurve</w:t>
            </w:r>
            <w:proofErr w:type="gramStart"/>
            <w:r>
              <w:rPr>
                <w:rFonts w:cs="Arial"/>
              </w:rPr>
              <w:t>) ,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etSEVO</w:t>
            </w:r>
            <w:proofErr w:type="spellEnd"/>
            <w:r>
              <w:rPr>
                <w:rFonts w:cs="Arial"/>
              </w:rPr>
              <w:t xml:space="preserve"> 1,3 (Verlauf dynamisch nach Maßgabe der Teilnehmer steuern.)</w:t>
            </w:r>
          </w:p>
          <w:p w:rsidR="00EF007E" w:rsidRPr="00D3135F" w:rsidRDefault="00EF007E" w:rsidP="00A06922">
            <w:pPr>
              <w:spacing w:line="276" w:lineRule="auto"/>
              <w:jc w:val="both"/>
              <w:rPr>
                <w:rFonts w:cs="Arial"/>
              </w:rPr>
            </w:pPr>
          </w:p>
          <w:p w:rsidR="00EF007E" w:rsidRPr="00D3135F" w:rsidRDefault="00EF007E" w:rsidP="00A06922">
            <w:p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Erwünschte Interventionen: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12-Kanal EKG</w:t>
            </w:r>
          </w:p>
          <w:p w:rsidR="00EF007E" w:rsidRPr="00D3135F" w:rsidRDefault="007E0493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Sonographie: </w:t>
            </w:r>
            <w:r w:rsidR="00EF007E" w:rsidRPr="00D3135F">
              <w:rPr>
                <w:rFonts w:cs="Arial"/>
              </w:rPr>
              <w:t>FATE, ggf. FAST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D3135F">
              <w:rPr>
                <w:rFonts w:cs="Arial"/>
              </w:rPr>
              <w:t>Supportive</w:t>
            </w:r>
            <w:proofErr w:type="spellEnd"/>
            <w:r w:rsidRPr="00D3135F">
              <w:rPr>
                <w:rFonts w:cs="Arial"/>
              </w:rPr>
              <w:t xml:space="preserve"> Kreislauftherapie (</w:t>
            </w:r>
            <w:proofErr w:type="spellStart"/>
            <w:r w:rsidRPr="00D3135F">
              <w:rPr>
                <w:rFonts w:cs="Arial"/>
              </w:rPr>
              <w:t>N</w:t>
            </w:r>
            <w:r w:rsidR="00D3135F">
              <w:rPr>
                <w:rFonts w:cs="Arial"/>
              </w:rPr>
              <w:t>ORepinephrin</w:t>
            </w:r>
            <w:proofErr w:type="spellEnd"/>
            <w:r w:rsidRPr="00D3135F">
              <w:rPr>
                <w:rFonts w:cs="Arial"/>
              </w:rPr>
              <w:t xml:space="preserve"> / </w:t>
            </w:r>
            <w:proofErr w:type="spellStart"/>
            <w:r w:rsidRPr="00D3135F">
              <w:rPr>
                <w:rFonts w:cs="Arial"/>
              </w:rPr>
              <w:t>E</w:t>
            </w:r>
            <w:r w:rsidR="00D3135F">
              <w:rPr>
                <w:rFonts w:cs="Arial"/>
              </w:rPr>
              <w:t>PInephrin</w:t>
            </w:r>
            <w:proofErr w:type="spellEnd"/>
            <w:r w:rsidRPr="00D3135F">
              <w:rPr>
                <w:rFonts w:cs="Arial"/>
              </w:rPr>
              <w:t>)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Rücksprache Operateur (Antikoagulation</w:t>
            </w:r>
            <w:r w:rsidR="00D3135F">
              <w:rPr>
                <w:rFonts w:cs="Arial"/>
              </w:rPr>
              <w:t xml:space="preserve"> möglich?</w:t>
            </w:r>
            <w:r w:rsidRPr="00D3135F">
              <w:rPr>
                <w:rFonts w:cs="Arial"/>
              </w:rPr>
              <w:t>)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BGA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lastRenderedPageBreak/>
              <w:t xml:space="preserve">Anlage </w:t>
            </w:r>
            <w:r w:rsidR="00610F78">
              <w:rPr>
                <w:rFonts w:cs="Arial"/>
              </w:rPr>
              <w:t>arterielle Druckmessung</w:t>
            </w:r>
            <w:r w:rsidRPr="00D3135F">
              <w:rPr>
                <w:rFonts w:cs="Arial"/>
              </w:rPr>
              <w:t xml:space="preserve"> (oder auch nicht)</w:t>
            </w:r>
          </w:p>
          <w:p w:rsidR="00EF007E" w:rsidRPr="00D3135F" w:rsidRDefault="00EF007E" w:rsidP="007E049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Entscheidung Intubation (oder auch nicht)</w:t>
            </w:r>
          </w:p>
          <w:p w:rsidR="00EF007E" w:rsidRPr="00D3135F" w:rsidRDefault="00EF007E" w:rsidP="00A06922">
            <w:pPr>
              <w:spacing w:line="276" w:lineRule="auto"/>
              <w:jc w:val="both"/>
              <w:rPr>
                <w:rFonts w:cs="Arial"/>
              </w:rPr>
            </w:pPr>
          </w:p>
          <w:p w:rsidR="00EF007E" w:rsidRDefault="00EF007E" w:rsidP="00A06922">
            <w:p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Nach Diagnosestellung und adäquater Therapie </w:t>
            </w:r>
            <w:r w:rsidR="0004300D">
              <w:rPr>
                <w:rFonts w:cs="Arial"/>
              </w:rPr>
              <w:t>sowie Beginn der IV-</w:t>
            </w:r>
            <w:proofErr w:type="spellStart"/>
            <w:r w:rsidR="0004300D">
              <w:rPr>
                <w:rFonts w:cs="Arial"/>
              </w:rPr>
              <w:t>Lyse</w:t>
            </w:r>
            <w:proofErr w:type="spellEnd"/>
            <w:r w:rsidR="0004300D">
              <w:rPr>
                <w:rFonts w:cs="Arial"/>
              </w:rPr>
              <w:t xml:space="preserve"> </w:t>
            </w:r>
            <w:r w:rsidRPr="00D3135F">
              <w:rPr>
                <w:rFonts w:cs="Arial"/>
              </w:rPr>
              <w:t>stabilisiert sich der Patient etwas.</w:t>
            </w:r>
          </w:p>
          <w:p w:rsidR="0004300D" w:rsidRPr="00D3135F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  <w:i/>
              </w:rPr>
            </w:pPr>
            <w:r w:rsidRPr="00D3135F">
              <w:rPr>
                <w:rFonts w:cs="Arial"/>
                <w:i/>
              </w:rPr>
              <w:t xml:space="preserve">Vitalparameter nach </w:t>
            </w:r>
            <w:r>
              <w:rPr>
                <w:rFonts w:cs="Arial"/>
                <w:i/>
              </w:rPr>
              <w:t>Beginn der IV-</w:t>
            </w:r>
            <w:proofErr w:type="spellStart"/>
            <w:r>
              <w:rPr>
                <w:rFonts w:cs="Arial"/>
                <w:i/>
              </w:rPr>
              <w:t>Lyse</w:t>
            </w:r>
            <w:proofErr w:type="spellEnd"/>
            <w:r>
              <w:rPr>
                <w:rFonts w:cs="Arial"/>
                <w:i/>
              </w:rPr>
              <w:t xml:space="preserve"> (Verlauf über 3 Minuten)</w:t>
            </w:r>
            <w:r w:rsidRPr="00D3135F">
              <w:rPr>
                <w:rFonts w:cs="Arial"/>
                <w:i/>
              </w:rPr>
              <w:t xml:space="preserve">: 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Pupillen seitengleich, mittelweit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Augen geschlossen</w:t>
            </w:r>
          </w:p>
          <w:p w:rsidR="0004300D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Unauffälliges, vesikuläres Atemgeräusch beidseits.</w:t>
            </w:r>
          </w:p>
          <w:p w:rsidR="00EF007E" w:rsidRPr="00D3135F" w:rsidRDefault="0004300D" w:rsidP="0004300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SR, HF 107/min; RR 90/50mmHg; SpO2 92, etCO2 30mmHg (unauffällige Konfiguration der Kurve</w:t>
            </w:r>
            <w:proofErr w:type="gramStart"/>
            <w:r>
              <w:rPr>
                <w:rFonts w:cs="Arial"/>
              </w:rPr>
              <w:t>) ,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etSEVO</w:t>
            </w:r>
            <w:proofErr w:type="spellEnd"/>
            <w:r>
              <w:rPr>
                <w:rFonts w:cs="Arial"/>
              </w:rPr>
              <w:t xml:space="preserve"> 1,3 (Verlauf dynamisch nach Maßgabe der Teilnehmer steuern.)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7E0493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7E0493" w:rsidRDefault="008F3388" w:rsidP="008F3388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A06922" w:rsidRPr="00216FE8" w:rsidRDefault="00A06922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Akteure</w:t>
            </w:r>
          </w:p>
          <w:p w:rsidR="00EF007E" w:rsidRPr="00216FE8" w:rsidRDefault="002D7A29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a) Teilnehmer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EF007E" w:rsidRPr="00216FE8" w:rsidRDefault="00EF007E" w:rsidP="00A0692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Pflegekraft</w:t>
            </w:r>
          </w:p>
          <w:p w:rsidR="00EF007E" w:rsidRPr="00216FE8" w:rsidRDefault="00EF007E" w:rsidP="00A0692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 xml:space="preserve">Anästhesist 1 – </w:t>
            </w:r>
            <w:r w:rsidR="00F8156D" w:rsidRPr="00216FE8">
              <w:rPr>
                <w:rFonts w:cs="Arial"/>
              </w:rPr>
              <w:t>Arzt in Weiterbildung</w:t>
            </w:r>
          </w:p>
          <w:p w:rsidR="00102E8D" w:rsidRPr="00216FE8" w:rsidRDefault="00102E8D" w:rsidP="00102E8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Pflegekraft (kommt auf Nachfrage)</w:t>
            </w:r>
          </w:p>
          <w:p w:rsidR="00102E8D" w:rsidRPr="00216FE8" w:rsidRDefault="00EF007E" w:rsidP="00102E8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Anästhesist 2 – Fach- oder Oberarzt</w:t>
            </w:r>
            <w:r w:rsidR="00102E8D" w:rsidRPr="00216FE8">
              <w:rPr>
                <w:rFonts w:cs="Arial"/>
              </w:rPr>
              <w:t xml:space="preserve"> (kommt auf Nachfrage)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216FE8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216FE8" w:rsidRDefault="008F3388" w:rsidP="008F3388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A06922" w:rsidRPr="00216FE8" w:rsidRDefault="00A06922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Akteure</w:t>
            </w:r>
          </w:p>
          <w:p w:rsidR="00EF007E" w:rsidRPr="00216FE8" w:rsidRDefault="00EF007E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b) Sim-Team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216FE8" w:rsidRDefault="00216FE8" w:rsidP="00AE735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Übergebender Kollege der Anästhesie</w:t>
            </w:r>
          </w:p>
          <w:p w:rsidR="00102E8D" w:rsidRPr="00216FE8" w:rsidRDefault="00EF007E" w:rsidP="00AE735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Operateur</w:t>
            </w:r>
            <w:r w:rsidR="00AE735F" w:rsidRPr="00216FE8">
              <w:rPr>
                <w:rFonts w:cs="Arial"/>
              </w:rPr>
              <w:t xml:space="preserve"> und OP-Personal </w:t>
            </w:r>
            <w:r w:rsidR="00216FE8">
              <w:rPr>
                <w:rFonts w:cs="Arial"/>
              </w:rPr>
              <w:t>(</w:t>
            </w:r>
            <w:r w:rsidR="00AE735F" w:rsidRPr="00216FE8">
              <w:rPr>
                <w:rFonts w:cs="Arial"/>
              </w:rPr>
              <w:t>werden nie kommen</w:t>
            </w:r>
            <w:r w:rsidR="00216FE8">
              <w:rPr>
                <w:rFonts w:cs="Arial"/>
              </w:rPr>
              <w:t>)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216FE8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216FE8" w:rsidRDefault="008F3388" w:rsidP="008F3388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EF007E" w:rsidRPr="00216FE8" w:rsidRDefault="00D3135F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Kritische Punkte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EF007E" w:rsidRPr="00216FE8" w:rsidRDefault="0004300D" w:rsidP="0004300D">
            <w:pPr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cs="Arial"/>
              </w:rPr>
            </w:pPr>
            <w:r w:rsidRPr="00216FE8">
              <w:rPr>
                <w:rStyle w:val="Fett"/>
              </w:rPr>
              <w:t>CAVE:</w:t>
            </w:r>
            <w:r w:rsidRPr="00216FE8">
              <w:t xml:space="preserve"> Reanimation ist kein expliziter Teil des Szenarios, der Patient hat die ganze Zeit noch Minimalkreislauf</w:t>
            </w:r>
          </w:p>
          <w:p w:rsidR="0004300D" w:rsidRPr="00216FE8" w:rsidRDefault="0004300D" w:rsidP="0004300D">
            <w:pPr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cs="Arial"/>
              </w:rPr>
            </w:pPr>
            <w:r w:rsidRPr="00216FE8">
              <w:rPr>
                <w:rFonts w:cs="Arial"/>
                <w:b/>
                <w:bCs/>
              </w:rPr>
              <w:t xml:space="preserve">Life </w:t>
            </w:r>
            <w:proofErr w:type="spellStart"/>
            <w:r w:rsidRPr="00216FE8">
              <w:rPr>
                <w:rFonts w:cs="Arial"/>
                <w:b/>
                <w:bCs/>
              </w:rPr>
              <w:t>Saver</w:t>
            </w:r>
            <w:proofErr w:type="spellEnd"/>
            <w:r w:rsidRPr="00216FE8">
              <w:rPr>
                <w:rFonts w:cs="Arial"/>
                <w:b/>
                <w:bCs/>
              </w:rPr>
              <w:t>:</w:t>
            </w:r>
            <w:r w:rsidRPr="00216FE8">
              <w:rPr>
                <w:rFonts w:cs="Arial"/>
              </w:rPr>
              <w:t xml:space="preserve"> Erholung auf Reanimationsmaßnahmen auch ohne spezifische Therapie nach 19 Minuten.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216FE8" w:rsidRDefault="008F3388" w:rsidP="00D3135F">
            <w:pPr>
              <w:spacing w:line="276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216FE8" w:rsidRDefault="008F3388" w:rsidP="00A06922">
            <w:pPr>
              <w:jc w:val="both"/>
              <w:rPr>
                <w:rFonts w:cs="Arial"/>
                <w:bCs/>
              </w:rPr>
            </w:pPr>
          </w:p>
        </w:tc>
      </w:tr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EF007E" w:rsidRPr="00216FE8" w:rsidRDefault="00D3135F" w:rsidP="00D3135F">
            <w:pPr>
              <w:spacing w:line="276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Wichtige Dialoge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EF007E" w:rsidRPr="00216FE8" w:rsidRDefault="00F8156D" w:rsidP="00F8156D">
            <w:pPr>
              <w:rPr>
                <w:rFonts w:cs="Arial"/>
              </w:rPr>
            </w:pPr>
            <w:r w:rsidRPr="00216FE8">
              <w:rPr>
                <w:rFonts w:cs="Arial"/>
              </w:rPr>
              <w:t>entfällt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216FE8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216FE8" w:rsidRDefault="008F3388" w:rsidP="00A06922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A06922" w:rsidTr="002D7A29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A06922" w:rsidRPr="00216FE8" w:rsidRDefault="00A06922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Requisiten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06922" w:rsidRPr="00216FE8" w:rsidRDefault="00A06922" w:rsidP="00A06922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Mannequin:</w:t>
            </w:r>
          </w:p>
          <w:p w:rsidR="00102E8D" w:rsidRPr="00216FE8" w:rsidRDefault="00A06922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„OP-Hemdchen“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Lagerung in Rückenlage auf OP-Tisch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rechter Arm ausgelagert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peripher-venöser Zugang (18G) am rechten Arm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peripher-venöser Zugang (16G) am rechten Arm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arterielle Kanüle am rechten Arm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Infusion: 500ml balancierte Vollelektrolytlösung (langsam tropfend)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>Monitoring: EKG, SpO2, NIBP, etCO2, NMT, IBP</w:t>
            </w:r>
          </w:p>
          <w:p w:rsidR="00102E8D" w:rsidRPr="00216FE8" w:rsidRDefault="00102E8D" w:rsidP="00102E8D">
            <w:pPr>
              <w:numPr>
                <w:ilvl w:val="0"/>
                <w:numId w:val="8"/>
              </w:numPr>
              <w:spacing w:line="276" w:lineRule="auto"/>
              <w:ind w:left="379" w:hanging="379"/>
              <w:jc w:val="both"/>
              <w:rPr>
                <w:rFonts w:cs="Arial"/>
              </w:rPr>
            </w:pPr>
            <w:r w:rsidRPr="00216FE8">
              <w:t xml:space="preserve">OP-Feld abgedeckt, steriler Vorhang in </w:t>
            </w:r>
            <w:proofErr w:type="spellStart"/>
            <w:r w:rsidRPr="00216FE8">
              <w:t>Mamillenhöhe</w:t>
            </w:r>
            <w:proofErr w:type="spellEnd"/>
          </w:p>
        </w:tc>
      </w:tr>
      <w:tr w:rsidR="00A06922" w:rsidTr="002D7A29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A06922" w:rsidRPr="00216FE8" w:rsidRDefault="00A06922" w:rsidP="00D3135F">
            <w:pPr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06922" w:rsidRPr="00216FE8" w:rsidRDefault="00A06922" w:rsidP="00A06922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Medizinisches Equipment:</w:t>
            </w:r>
          </w:p>
          <w:p w:rsidR="00A06922" w:rsidRPr="00216FE8" w:rsidRDefault="00A06922" w:rsidP="00A0692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Echo-Loops: unauffälliges FAST, Rechtsherzbelastung</w:t>
            </w:r>
          </w:p>
          <w:p w:rsidR="00A06922" w:rsidRPr="00216FE8" w:rsidRDefault="00A06922" w:rsidP="00A0692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 xml:space="preserve">Ggf. </w:t>
            </w:r>
            <w:proofErr w:type="spellStart"/>
            <w:r w:rsidRPr="00216FE8">
              <w:rPr>
                <w:rFonts w:cs="Arial"/>
              </w:rPr>
              <w:t>Rö</w:t>
            </w:r>
            <w:proofErr w:type="spellEnd"/>
            <w:r w:rsidRPr="00216FE8">
              <w:rPr>
                <w:rFonts w:cs="Arial"/>
              </w:rPr>
              <w:t>-Thorax</w:t>
            </w:r>
          </w:p>
          <w:p w:rsidR="00A06922" w:rsidRPr="00216FE8" w:rsidRDefault="00A06922" w:rsidP="00A0692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Narkose-Protokoll</w:t>
            </w:r>
          </w:p>
          <w:p w:rsidR="00A06922" w:rsidRPr="00216FE8" w:rsidRDefault="00102E8D" w:rsidP="00A0692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Einwilligung für die Operation</w:t>
            </w:r>
          </w:p>
          <w:p w:rsidR="00A06922" w:rsidRPr="00216FE8" w:rsidRDefault="00102E8D" w:rsidP="00A0692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Einwilligung Anästhesie</w:t>
            </w:r>
          </w:p>
          <w:p w:rsidR="00A06922" w:rsidRPr="00216FE8" w:rsidRDefault="00102E8D" w:rsidP="00102E8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Präoperative Laborwerte</w:t>
            </w:r>
          </w:p>
        </w:tc>
      </w:tr>
      <w:tr w:rsidR="00A06922" w:rsidTr="002D7A29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A06922" w:rsidRPr="00216FE8" w:rsidRDefault="00A06922" w:rsidP="00D3135F">
            <w:pPr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06922" w:rsidRPr="00216FE8" w:rsidRDefault="00A06922" w:rsidP="00A06922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Umgebung:</w:t>
            </w:r>
          </w:p>
          <w:p w:rsidR="00A06922" w:rsidRPr="00216FE8" w:rsidRDefault="00A06922" w:rsidP="00F8156D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</w:rPr>
              <w:t>Narkosewagen</w:t>
            </w:r>
          </w:p>
          <w:p w:rsidR="00216FE8" w:rsidRPr="00216FE8" w:rsidRDefault="00102E8D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Narkosearbeitsplatz nach DIN</w:t>
            </w:r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1 Infusionsständer</w:t>
            </w:r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 xml:space="preserve">2 500ml Infusionen mit </w:t>
            </w:r>
            <w:proofErr w:type="spellStart"/>
            <w:r w:rsidRPr="00216FE8">
              <w:rPr>
                <w:rFonts w:cs="Arial"/>
              </w:rPr>
              <w:t>Infusionsystemen</w:t>
            </w:r>
            <w:proofErr w:type="spellEnd"/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1 arterielles Drucksystem mit Kanüle</w:t>
            </w:r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großes OP-Tuch als Vorhang</w:t>
            </w:r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216FE8">
              <w:rPr>
                <w:rFonts w:cs="Arial"/>
              </w:rPr>
              <w:t>Beatmunsbeutel</w:t>
            </w:r>
            <w:proofErr w:type="spellEnd"/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Defibrillator</w:t>
            </w:r>
          </w:p>
          <w:p w:rsidR="00216FE8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216FE8">
              <w:rPr>
                <w:rFonts w:cs="Arial"/>
              </w:rPr>
              <w:lastRenderedPageBreak/>
              <w:t>Lyse</w:t>
            </w:r>
            <w:proofErr w:type="spellEnd"/>
            <w:r w:rsidRPr="00216FE8">
              <w:rPr>
                <w:rFonts w:cs="Arial"/>
              </w:rPr>
              <w:t xml:space="preserve"> ("</w:t>
            </w:r>
            <w:proofErr w:type="spellStart"/>
            <w:r w:rsidRPr="00216FE8">
              <w:rPr>
                <w:rFonts w:cs="Arial"/>
              </w:rPr>
              <w:t>Lyse</w:t>
            </w:r>
            <w:proofErr w:type="spellEnd"/>
            <w:r w:rsidRPr="00216FE8">
              <w:rPr>
                <w:rFonts w:cs="Arial"/>
              </w:rPr>
              <w:t>-Kiste")</w:t>
            </w:r>
          </w:p>
          <w:p w:rsidR="00102E8D" w:rsidRPr="00216FE8" w:rsidRDefault="00216FE8" w:rsidP="00216FE8">
            <w:pPr>
              <w:pStyle w:val="Listenabsatz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DIVI-Etiketten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7E0493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8F3388" w:rsidRPr="007E0493" w:rsidRDefault="008F3388" w:rsidP="008F3388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D3135F" w:rsidTr="002D7A29">
        <w:tc>
          <w:tcPr>
            <w:tcW w:w="1668" w:type="dxa"/>
            <w:tcBorders>
              <w:right w:val="single" w:sz="4" w:space="0" w:color="auto"/>
            </w:tcBorders>
          </w:tcPr>
          <w:p w:rsidR="00D3135F" w:rsidRPr="00216FE8" w:rsidRDefault="00D3135F" w:rsidP="00D3135F">
            <w:pPr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Sonstiges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D3135F" w:rsidRPr="00216FE8" w:rsidRDefault="00102E8D" w:rsidP="00102E8D">
            <w:pPr>
              <w:spacing w:line="276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entfällt</w:t>
            </w:r>
          </w:p>
        </w:tc>
      </w:tr>
      <w:tr w:rsidR="008F3388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8F3388" w:rsidRPr="007E0493" w:rsidRDefault="008F3388" w:rsidP="00D3135F">
            <w:pPr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auto"/>
          </w:tcPr>
          <w:p w:rsidR="008F3388" w:rsidRPr="007E0493" w:rsidRDefault="008F3388" w:rsidP="008F3388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D3135F" w:rsidTr="002D7A29">
        <w:tc>
          <w:tcPr>
            <w:tcW w:w="1668" w:type="dxa"/>
            <w:tcBorders>
              <w:right w:val="single" w:sz="4" w:space="0" w:color="auto"/>
            </w:tcBorders>
          </w:tcPr>
          <w:p w:rsidR="00D3135F" w:rsidRPr="00D3135F" w:rsidRDefault="00D3135F" w:rsidP="00D3135F">
            <w:pPr>
              <w:rPr>
                <w:b/>
                <w:i/>
                <w:color w:val="06508C"/>
              </w:rPr>
            </w:pPr>
            <w:r w:rsidRPr="00D3135F">
              <w:rPr>
                <w:b/>
                <w:i/>
                <w:color w:val="06508C"/>
              </w:rPr>
              <w:t>Lernziele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3B96" w:rsidRPr="007E0493" w:rsidRDefault="00D3135F" w:rsidP="00A0692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E0493">
              <w:rPr>
                <w:rFonts w:cs="Arial"/>
                <w:b/>
                <w:bCs/>
              </w:rPr>
              <w:t>Medizinisch</w:t>
            </w:r>
          </w:p>
          <w:p w:rsidR="00A23B96" w:rsidRDefault="00D3135F" w:rsidP="00A23B96">
            <w:pPr>
              <w:numPr>
                <w:ilvl w:val="1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Akutmanagement </w:t>
            </w:r>
            <w:r w:rsidR="000A3244">
              <w:rPr>
                <w:rFonts w:cs="Arial"/>
              </w:rPr>
              <w:t>der Lungenarterienembolie</w:t>
            </w:r>
          </w:p>
          <w:p w:rsidR="00D3135F" w:rsidRPr="00D3135F" w:rsidRDefault="00D3135F" w:rsidP="00A23B96">
            <w:pPr>
              <w:numPr>
                <w:ilvl w:val="1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Indikationsstellung </w:t>
            </w:r>
            <w:r w:rsidR="00A23B96">
              <w:rPr>
                <w:rFonts w:cs="Arial"/>
              </w:rPr>
              <w:t xml:space="preserve">einer systemischen </w:t>
            </w:r>
            <w:proofErr w:type="spellStart"/>
            <w:r w:rsidRPr="00D3135F">
              <w:rPr>
                <w:rFonts w:cs="Arial"/>
              </w:rPr>
              <w:t>Lyse</w:t>
            </w:r>
            <w:proofErr w:type="spellEnd"/>
          </w:p>
          <w:p w:rsidR="00A23B96" w:rsidRPr="007E0493" w:rsidRDefault="007E0493" w:rsidP="00A0692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</w:t>
            </w:r>
            <w:r w:rsidR="00D3135F" w:rsidRPr="007E0493">
              <w:rPr>
                <w:rFonts w:cs="Arial"/>
                <w:b/>
                <w:bCs/>
              </w:rPr>
              <w:t>RM</w:t>
            </w:r>
          </w:p>
          <w:p w:rsidR="00D3135F" w:rsidRPr="00D3135F" w:rsidRDefault="00D3135F" w:rsidP="00A23B96">
            <w:pPr>
              <w:numPr>
                <w:ilvl w:val="1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Interprofessionelle</w:t>
            </w:r>
            <w:r w:rsidR="00A23B96">
              <w:rPr>
                <w:rFonts w:cs="Arial"/>
              </w:rPr>
              <w:t>- und</w:t>
            </w:r>
            <w:r w:rsidRPr="00D3135F">
              <w:rPr>
                <w:rFonts w:cs="Arial"/>
              </w:rPr>
              <w:t xml:space="preserve"> </w:t>
            </w:r>
            <w:r w:rsidR="00A23B96">
              <w:rPr>
                <w:rFonts w:cs="Arial"/>
              </w:rPr>
              <w:t>i</w:t>
            </w:r>
            <w:r w:rsidRPr="00D3135F">
              <w:rPr>
                <w:rFonts w:cs="Arial"/>
              </w:rPr>
              <w:t>nterdisziplinäre Kommunikation</w:t>
            </w:r>
          </w:p>
          <w:p w:rsidR="00A23B96" w:rsidRPr="007E0493" w:rsidRDefault="00D3135F" w:rsidP="00A0692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7E0493">
              <w:rPr>
                <w:rFonts w:cs="Arial"/>
                <w:b/>
                <w:bCs/>
              </w:rPr>
              <w:t>eGENA</w:t>
            </w:r>
            <w:proofErr w:type="spellEnd"/>
          </w:p>
          <w:p w:rsidR="00D3135F" w:rsidRPr="00D3135F" w:rsidRDefault="00D3135F" w:rsidP="00A23B96">
            <w:pPr>
              <w:numPr>
                <w:ilvl w:val="1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Usability bei Differentialdiagnose und Therapie der </w:t>
            </w:r>
            <w:r w:rsidR="000A3244">
              <w:rPr>
                <w:rFonts w:cs="Arial"/>
              </w:rPr>
              <w:t>Lungenarterienembolie</w:t>
            </w:r>
          </w:p>
        </w:tc>
      </w:tr>
    </w:tbl>
    <w:p w:rsidR="009D70B6" w:rsidRDefault="009D70B6"/>
    <w:sectPr w:rsidR="009D70B6" w:rsidSect="00A90339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B01" w:rsidRDefault="00737B01">
      <w:r>
        <w:separator/>
      </w:r>
    </w:p>
  </w:endnote>
  <w:endnote w:type="continuationSeparator" w:id="0">
    <w:p w:rsidR="00737B01" w:rsidRDefault="0073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B01" w:rsidRDefault="00737B01">
      <w:r>
        <w:separator/>
      </w:r>
    </w:p>
  </w:footnote>
  <w:footnote w:type="continuationSeparator" w:id="0">
    <w:p w:rsidR="00737B01" w:rsidRDefault="0073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0B6" w:rsidRDefault="009D70B6">
    <w:pPr>
      <w:framePr w:h="0" w:hSpace="141" w:wrap="around" w:vAnchor="text" w:hAnchor="page" w:x="859" w:y="-273"/>
      <w:tabs>
        <w:tab w:val="left" w:pos="1985"/>
      </w:tabs>
    </w:pPr>
  </w:p>
  <w:p w:rsidR="009D70B6" w:rsidRDefault="00EF007E" w:rsidP="007E0493">
    <w:pPr>
      <w:pStyle w:val="Kopfzeile"/>
      <w:ind w:right="-1"/>
      <w:jc w:val="center"/>
      <w:rPr>
        <w:rFonts w:ascii="BankGothic Md BT" w:hAnsi="BankGothic Md BT"/>
        <w:i/>
        <w:iCs/>
        <w:color w:val="C0C0C0"/>
        <w:sz w:val="28"/>
      </w:rPr>
    </w:pPr>
    <w:r w:rsidRPr="00EF007E">
      <w:rPr>
        <w:b/>
        <w:bCs/>
        <w:noProof/>
        <w:sz w:val="24"/>
      </w:rPr>
      <w:drawing>
        <wp:anchor distT="0" distB="0" distL="114300" distR="114300" simplePos="0" relativeHeight="251658752" behindDoc="0" locked="0" layoutInCell="1" allowOverlap="1" wp14:anchorId="1DF1FF10">
          <wp:simplePos x="0" y="0"/>
          <wp:positionH relativeFrom="column">
            <wp:posOffset>-239450</wp:posOffset>
          </wp:positionH>
          <wp:positionV relativeFrom="paragraph">
            <wp:posOffset>-447040</wp:posOffset>
          </wp:positionV>
          <wp:extent cx="1366630" cy="726201"/>
          <wp:effectExtent l="0" t="0" r="0" b="0"/>
          <wp:wrapNone/>
          <wp:docPr id="3" name="Grafik 2" descr="Ein Bild, das Schil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2BA9AD4-CBDA-AB4E-99AB-70D7C3733B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D2BA9AD4-CBDA-AB4E-99AB-70D7C3733B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630" cy="72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D767983">
          <wp:simplePos x="0" y="0"/>
          <wp:positionH relativeFrom="column">
            <wp:posOffset>5222075</wp:posOffset>
          </wp:positionH>
          <wp:positionV relativeFrom="paragraph">
            <wp:posOffset>-262862</wp:posOffset>
          </wp:positionV>
          <wp:extent cx="1835675" cy="335612"/>
          <wp:effectExtent l="0" t="0" r="0" b="0"/>
          <wp:wrapNone/>
          <wp:docPr id="4" name="Grafik 3" descr="Ein Bild, das Uhr, Schild, Straße, Stad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129FFAB9-B8EE-0C42-99B7-7BD8FCA783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129FFAB9-B8EE-0C42-99B7-7BD8FCA783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675" cy="33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566">
      <w:rPr>
        <w:rFonts w:ascii="BankGothic Md BT" w:hAnsi="BankGothic Md BT"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04FA2" wp14:editId="53BBA562">
              <wp:simplePos x="0" y="0"/>
              <wp:positionH relativeFrom="column">
                <wp:posOffset>474345</wp:posOffset>
              </wp:positionH>
              <wp:positionV relativeFrom="paragraph">
                <wp:posOffset>231140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8.2pt" to="48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vC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" strokecolor="silver"/>
          </w:pict>
        </mc:Fallback>
      </mc:AlternateContent>
    </w:r>
    <w:r w:rsidR="009D70B6">
      <w:rPr>
        <w:b/>
        <w:bCs/>
        <w:i/>
        <w:iCs/>
        <w:sz w:val="28"/>
      </w:rPr>
      <w:t xml:space="preserve">Lungenembolie </w:t>
    </w:r>
    <w:r w:rsidR="009730BC">
      <w:rPr>
        <w:b/>
        <w:bCs/>
        <w:i/>
        <w:iCs/>
        <w:sz w:val="28"/>
      </w:rPr>
      <w:t>im Operationsaal</w:t>
    </w:r>
  </w:p>
  <w:p w:rsidR="00EF007E" w:rsidRPr="00EF007E" w:rsidRDefault="00EF007E" w:rsidP="00EF007E">
    <w:pPr>
      <w:pStyle w:val="Kopfzeile"/>
      <w:ind w:right="-1"/>
      <w:jc w:val="center"/>
      <w:rPr>
        <w:rFonts w:ascii="BankGothic Md BT" w:hAnsi="BankGothic Md BT"/>
        <w:i/>
        <w:iCs/>
        <w:color w:val="C0C0C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C68"/>
    <w:multiLevelType w:val="hybridMultilevel"/>
    <w:tmpl w:val="30E075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ED8"/>
    <w:multiLevelType w:val="multilevel"/>
    <w:tmpl w:val="B15A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0DE9"/>
    <w:multiLevelType w:val="multilevel"/>
    <w:tmpl w:val="C07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7D88"/>
    <w:multiLevelType w:val="hybridMultilevel"/>
    <w:tmpl w:val="30E07514"/>
    <w:lvl w:ilvl="0" w:tplc="F5A21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53CBB"/>
    <w:multiLevelType w:val="hybridMultilevel"/>
    <w:tmpl w:val="2CAAF0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912"/>
    <w:multiLevelType w:val="hybridMultilevel"/>
    <w:tmpl w:val="9474D2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06EDE"/>
    <w:multiLevelType w:val="hybridMultilevel"/>
    <w:tmpl w:val="2DDEF8C4"/>
    <w:lvl w:ilvl="0" w:tplc="04070001">
      <w:start w:val="1"/>
      <w:numFmt w:val="bullet"/>
      <w:lvlText w:val=""/>
      <w:lvlJc w:val="left"/>
      <w:pPr>
        <w:tabs>
          <w:tab w:val="num" w:pos="-1585"/>
        </w:tabs>
        <w:ind w:left="-15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865"/>
        </w:tabs>
        <w:ind w:left="-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145"/>
        </w:tabs>
        <w:ind w:left="-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</w:abstractNum>
  <w:abstractNum w:abstractNumId="7" w15:restartNumberingAfterBreak="0">
    <w:nsid w:val="239D6F5E"/>
    <w:multiLevelType w:val="hybridMultilevel"/>
    <w:tmpl w:val="7C684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D9C"/>
    <w:multiLevelType w:val="hybridMultilevel"/>
    <w:tmpl w:val="26DAC76C"/>
    <w:lvl w:ilvl="0" w:tplc="F3688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762"/>
    <w:multiLevelType w:val="hybridMultilevel"/>
    <w:tmpl w:val="5F8A97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030BE"/>
    <w:multiLevelType w:val="hybridMultilevel"/>
    <w:tmpl w:val="5B58CF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F55AD"/>
    <w:multiLevelType w:val="hybridMultilevel"/>
    <w:tmpl w:val="8AAEB8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BF9"/>
    <w:multiLevelType w:val="hybridMultilevel"/>
    <w:tmpl w:val="35882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550"/>
    <w:multiLevelType w:val="hybridMultilevel"/>
    <w:tmpl w:val="8BE436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74309"/>
    <w:multiLevelType w:val="hybridMultilevel"/>
    <w:tmpl w:val="FB6C1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16C"/>
    <w:multiLevelType w:val="hybridMultilevel"/>
    <w:tmpl w:val="9FF2A512"/>
    <w:lvl w:ilvl="0" w:tplc="F5A21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705E5"/>
    <w:multiLevelType w:val="hybridMultilevel"/>
    <w:tmpl w:val="B672CF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0628"/>
    <w:multiLevelType w:val="hybridMultilevel"/>
    <w:tmpl w:val="94D065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4B5F4A"/>
    <w:multiLevelType w:val="hybridMultilevel"/>
    <w:tmpl w:val="AD54E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5DE1"/>
    <w:multiLevelType w:val="hybridMultilevel"/>
    <w:tmpl w:val="B7DC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C1ADA"/>
    <w:multiLevelType w:val="hybridMultilevel"/>
    <w:tmpl w:val="C68C5F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7"/>
  </w:num>
  <w:num w:numId="6">
    <w:abstractNumId w:val="20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AC"/>
    <w:rsid w:val="0002576F"/>
    <w:rsid w:val="0004300D"/>
    <w:rsid w:val="00050F53"/>
    <w:rsid w:val="000A3244"/>
    <w:rsid w:val="00102E8D"/>
    <w:rsid w:val="001751D1"/>
    <w:rsid w:val="001A1099"/>
    <w:rsid w:val="00216FE8"/>
    <w:rsid w:val="00243863"/>
    <w:rsid w:val="002D7A29"/>
    <w:rsid w:val="003466B6"/>
    <w:rsid w:val="003A2D00"/>
    <w:rsid w:val="00450DC4"/>
    <w:rsid w:val="005921FA"/>
    <w:rsid w:val="0060712E"/>
    <w:rsid w:val="00610F78"/>
    <w:rsid w:val="006A71E3"/>
    <w:rsid w:val="006B5566"/>
    <w:rsid w:val="006C002D"/>
    <w:rsid w:val="00737B01"/>
    <w:rsid w:val="00770024"/>
    <w:rsid w:val="007E0493"/>
    <w:rsid w:val="007E7790"/>
    <w:rsid w:val="008A09A7"/>
    <w:rsid w:val="008F3388"/>
    <w:rsid w:val="009265AC"/>
    <w:rsid w:val="009730BC"/>
    <w:rsid w:val="009D70B6"/>
    <w:rsid w:val="00A06922"/>
    <w:rsid w:val="00A23B96"/>
    <w:rsid w:val="00A90339"/>
    <w:rsid w:val="00AC5B9E"/>
    <w:rsid w:val="00AE735F"/>
    <w:rsid w:val="00B848EC"/>
    <w:rsid w:val="00B959BD"/>
    <w:rsid w:val="00CC4B26"/>
    <w:rsid w:val="00D13D4D"/>
    <w:rsid w:val="00D3135F"/>
    <w:rsid w:val="00D347E0"/>
    <w:rsid w:val="00D55992"/>
    <w:rsid w:val="00E0764C"/>
    <w:rsid w:val="00E51EA2"/>
    <w:rsid w:val="00EB4BD1"/>
    <w:rsid w:val="00EF007E"/>
    <w:rsid w:val="00F73A53"/>
    <w:rsid w:val="00F8156D"/>
    <w:rsid w:val="00F86EC8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4D9CE"/>
  <w15:docId w15:val="{648BDF65-2A40-6B45-A88F-8FBE47D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ankGothic Md BT" w:hAnsi="BankGothic Md BT"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BankGothic Md BT" w:hAnsi="BankGothic Md BT"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ankGothic Md BT" w:hAnsi="BankGothic Md BT"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Textkrper3">
    <w:name w:val="Body Text 3"/>
    <w:basedOn w:val="Standard"/>
    <w:semiHidden/>
    <w:pPr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0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0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1099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EF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43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(#1)</vt:lpstr>
    </vt:vector>
  </TitlesOfParts>
  <Company>Klinik für Anästhesiologie, FAU Erlangen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(#1)</dc:title>
  <dc:creator>spierre</dc:creator>
  <cp:lastModifiedBy>Hendrik Eismann</cp:lastModifiedBy>
  <cp:revision>21</cp:revision>
  <cp:lastPrinted>2020-02-17T10:58:00Z</cp:lastPrinted>
  <dcterms:created xsi:type="dcterms:W3CDTF">2020-02-24T13:29:00Z</dcterms:created>
  <dcterms:modified xsi:type="dcterms:W3CDTF">2020-06-11T09:06:00Z</dcterms:modified>
</cp:coreProperties>
</file>